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Материально-техническое обеспечение и оснащенность образовательного процесса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Большая роль в эффективности качества воспитательно- образовательного процесса детского сада отводится материально- техническому обеспечению ДОУ и оснащённости образовательного процесса. В нашем  детском саду созданы все условия   для полноценного развития детей.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Здание ДОУ 2023 года постройки, строение сборно-щитовое, двухэтажное. Функционируют 5 возрастных групп. Территория дошкольного учреждения озеленена. Территория детского сада ограждена забором. Детский сад  имеет все виды благоустройства: водопровод,  канализацию, отопление.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  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 Материальная база в ДОУ и предметно-развивающая среда в групповых комнатах создана с учётом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Федеральных государственных требований к созданию предметно-развивающей среды, обеспечивающих реализацию основной общеобразовательной программы дошкольного образования.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6"/>
        <w:gridCol w:w="215"/>
      </w:tblGrid>
      <w:tr>
        <w:trPr>
          <w:trHeight w:val="1" w:hRule="atLeast"/>
          <w:jc w:val="center"/>
        </w:trPr>
        <w:tc>
          <w:tcPr>
            <w:tcW w:w="431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350" w:type="dxa"/>
              <w:right w:w="3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ДОКУМЕНТ ПОДПИСАН ЭЛЕКТРОННОЙ ПОДПИСЬЮ</w:t>
            </w:r>
          </w:p>
        </w:tc>
      </w:tr>
      <w:tr>
        <w:trPr>
          <w:trHeight w:val="1" w:hRule="atLeast"/>
          <w:jc w:val="center"/>
        </w:trPr>
        <w:tc>
          <w:tcPr>
            <w:tcW w:w="431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0" w:after="5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0"/>
                <w:position w:val="0"/>
                <w:sz w:val="24"/>
                <w:shd w:fill="000000" w:val="clear"/>
              </w:rPr>
              <w:t xml:space="preserve">СВЕДЕНИЯ О СЕРТИФИКАТЕ ЭП</w:t>
            </w:r>
          </w:p>
        </w:tc>
      </w:tr>
      <w:tr>
        <w:trPr>
          <w:trHeight w:val="1" w:hRule="atLeast"/>
          <w:jc w:val="center"/>
        </w:trPr>
        <w:tc>
          <w:tcPr>
            <w:tcW w:w="216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</w:tc>
        <w:tc>
          <w:tcPr>
            <w:tcW w:w="215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603332450510203670830559428146817986133868575793</w:t>
            </w:r>
          </w:p>
        </w:tc>
      </w:tr>
      <w:tr>
        <w:trPr>
          <w:trHeight w:val="1" w:hRule="atLeast"/>
          <w:jc w:val="center"/>
        </w:trPr>
        <w:tc>
          <w:tcPr>
            <w:tcW w:w="216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Владелец</w:t>
            </w:r>
          </w:p>
        </w:tc>
        <w:tc>
          <w:tcPr>
            <w:tcW w:w="215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Байболатова Роза Ахмедовна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